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0"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category showcases organisations working in partnership with local communities to deliver fast and reliable infrastructure and services. The category is looking for UK organisations that have worked collaboratively  to ensure the positive benefits of connectivity are realised.</w:t>
      </w:r>
    </w:p>
    <w:p w:rsidR="00000000" w:rsidDel="00000000" w:rsidP="00000000" w:rsidRDefault="00000000" w:rsidRPr="00000000" w14:paraId="00000003">
      <w:pPr>
        <w:spacing w:after="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Entrants to this category should display how their community engagement initiatives have: </w:t>
      </w:r>
    </w:p>
    <w:p w:rsidR="00000000" w:rsidDel="00000000" w:rsidP="00000000" w:rsidRDefault="00000000" w:rsidRPr="00000000" w14:paraId="00000005">
      <w:pPr>
        <w:spacing w:after="0"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Minimised disruption in network build </w:t>
      </w:r>
    </w:p>
    <w:p w:rsidR="00000000" w:rsidDel="00000000" w:rsidP="00000000" w:rsidRDefault="00000000" w:rsidRPr="00000000" w14:paraId="00000007">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Educated and engaged the community in question on connectivity and its benefits</w:t>
      </w:r>
    </w:p>
    <w:p w:rsidR="00000000" w:rsidDel="00000000" w:rsidP="00000000" w:rsidRDefault="00000000" w:rsidRPr="00000000" w14:paraId="00000008">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Impact on digital inclusion</w:t>
      </w:r>
    </w:p>
    <w:p w:rsidR="00000000" w:rsidDel="00000000" w:rsidP="00000000" w:rsidRDefault="00000000" w:rsidRPr="00000000" w14:paraId="00000009">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Ensured that community voices were heard in the deployment of the network</w:t>
      </w:r>
    </w:p>
    <w:p w:rsidR="00000000" w:rsidDel="00000000" w:rsidP="00000000" w:rsidRDefault="00000000" w:rsidRPr="00000000" w14:paraId="0000000A">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Work with local authorities to ensure effective and efficient delivery of connectivity </w:t>
      </w:r>
    </w:p>
    <w:p w:rsidR="00000000" w:rsidDel="00000000" w:rsidP="00000000" w:rsidRDefault="00000000" w:rsidRPr="00000000" w14:paraId="0000000B">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Showcased an understanding and appreciation for the community in question</w:t>
      </w:r>
    </w:p>
    <w:p w:rsidR="00000000" w:rsidDel="00000000" w:rsidP="00000000" w:rsidRDefault="00000000" w:rsidRPr="00000000" w14:paraId="0000000C">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asking entrants to submit an 800 word case study on their community engagement (this can be a singular or multiple communities) highlighting the actions taken and the positive outcomes it led to. Entrants may provide supporting evidence and testimonials in support of its entry.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spacing w:after="280" w:before="280" w:lineRule="auto"/>
        <w:jc w:val="both"/>
        <w:rPr>
          <w:rFonts w:ascii="Arial" w:cs="Arial" w:eastAsia="Arial" w:hAnsi="Arial"/>
          <w:sz w:val="20"/>
          <w:szCs w:val="20"/>
        </w:rPr>
      </w:pPr>
      <w:r w:rsidDel="00000000" w:rsidR="00000000" w:rsidRPr="00000000">
        <w:rPr>
          <w:rFonts w:ascii="Arial" w:cs="Arial" w:eastAsia="Arial" w:hAnsi="Arial"/>
          <w:b w:val="1"/>
          <w:bCs w:val="1"/>
          <w:color w:val="393939"/>
          <w:sz w:val="20"/>
          <w:szCs w:val="20"/>
          <w:rtl w:val="0"/>
        </w:rPr>
        <w:t xml:space="preserve">Please fill out this written entry form (keep the document size to no more than two pages of A4 - minimum size font: Arial 10) and send to </w:t>
      </w:r>
      <w:r w:rsidDel="00000000" w:rsidR="00000000" w:rsidRPr="00000000">
        <w:rPr>
          <w:rFonts w:ascii="Arial" w:cs="Arial" w:eastAsia="Arial" w:hAnsi="Arial"/>
          <w:b w:val="1"/>
          <w:bCs w:val="1"/>
          <w:sz w:val="20"/>
          <w:szCs w:val="20"/>
          <w:rtl w:val="0"/>
        </w:rPr>
        <w:t xml:space="preserve">awards@ispa.org.uk</w:t>
      </w:r>
      <w:r w:rsidDel="00000000" w:rsidR="00000000" w:rsidRPr="00000000">
        <w:rPr>
          <w:rFonts w:ascii="Arial" w:cs="Arial" w:eastAsia="Arial" w:hAnsi="Arial"/>
          <w:b w:val="1"/>
          <w:bCs w:val="1"/>
          <w:color w:val="393939"/>
          <w:sz w:val="20"/>
          <w:szCs w:val="20"/>
          <w:rtl w:val="0"/>
        </w:rPr>
        <w:t xml:space="preserve"> by end of play on 26th June 2026.</w:t>
      </w: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11">
      <w:pPr>
        <w:spacing w:after="280" w:before="280" w:lineRule="auto"/>
        <w:rPr>
          <w:rFonts w:ascii="Arial" w:cs="Arial" w:eastAsia="Arial" w:hAnsi="Arial"/>
          <w:sz w:val="20"/>
          <w:szCs w:val="20"/>
        </w:rPr>
      </w:pPr>
      <w:r w:rsidDel="00000000" w:rsidR="00000000" w:rsidRPr="00000000">
        <w:rPr>
          <w:rFonts w:ascii="Arial" w:cs="Arial" w:eastAsia="Arial" w:hAnsi="Arial"/>
          <w:b w:val="1"/>
          <w:bCs w:val="1"/>
          <w:color w:val="1f3864"/>
          <w:sz w:val="20"/>
          <w:szCs w:val="20"/>
          <w:rtl w:val="0"/>
        </w:rPr>
        <w:t xml:space="preserve">Case study</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1697005" cy="1139907"/>
          <wp:effectExtent b="0" l="0" r="0" t="0"/>
          <wp:docPr descr="A picture containing graphical user interface&#10;&#10;Description automatically generated" id="7"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Best Community Engagement Award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2ukcwJDPWLNZDqz8miPXo+Ttw==">CgMxLjA4AHIhMUlZSmVyMWhvVDdMNmdJNjg5Q3J2Z2Z5dERmZWc3VUVZ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2023-02-09T12:01:00Z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