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Entrants must be an ISP that is providing broadband to rural / hard to reach areas. The category is technology neutral. While speeds are an important part of the testing, it also takes account of overall service levels, packages, availability, performance, customer service, community engagement and more. Thinkbroadband testing data will be used to determine the shortlist for the category. The data will also inform the judging which will also take account of publicly available data from other sources such as Ofcom and trustpilot where possible.</w:t>
      </w:r>
    </w:p>
    <w:p w:rsidR="00000000" w:rsidDel="00000000" w:rsidP="00000000" w:rsidRDefault="00000000" w:rsidRPr="00000000" w14:paraId="00000003">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sz w:val="20"/>
          <w:szCs w:val="20"/>
        </w:rPr>
      </w:pPr>
      <w:hyperlink r:id="rId7">
        <w:r w:rsidDel="00000000" w:rsidR="00000000" w:rsidRPr="00000000">
          <w:rPr>
            <w:rFonts w:ascii="Arial" w:cs="Arial" w:eastAsia="Arial" w:hAnsi="Arial"/>
            <w:sz w:val="20"/>
            <w:szCs w:val="20"/>
            <w:u w:val="single"/>
            <w:rtl w:val="0"/>
          </w:rPr>
          <w:t xml:space="preserve">Thinkbroadband</w:t>
        </w:r>
      </w:hyperlink>
      <w:r w:rsidDel="00000000" w:rsidR="00000000" w:rsidRPr="00000000">
        <w:rPr>
          <w:rFonts w:ascii="Arial" w:cs="Arial" w:eastAsia="Arial" w:hAnsi="Arial"/>
          <w:sz w:val="20"/>
          <w:szCs w:val="20"/>
          <w:rtl w:val="0"/>
        </w:rPr>
        <w:t xml:space="preserve"> testing data will be used to determine the shortlist for the category. The data will also inform the judging which will also take account of publicly available data from other sources such as Ofcom and trustpilot where possible.</w:t>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sz w:val="20"/>
          <w:szCs w:val="20"/>
        </w:rPr>
      </w:pPr>
      <w:r w:rsidDel="00000000" w:rsidR="00000000" w:rsidRPr="00000000">
        <w:rPr>
          <w:rFonts w:ascii="Arial" w:cs="Arial" w:eastAsia="Arial" w:hAnsi="Arial"/>
          <w:sz w:val="20"/>
          <w:szCs w:val="20"/>
          <w:rtl w:val="0"/>
        </w:rPr>
        <w:t xml:space="preserve">Please fill out this written entry form (keep the document size to no more than two pages of A4  - minimum size font: Arial 10) and send to awards@ispa.org.uk by end of play on</w:t>
      </w:r>
      <w:r w:rsidDel="00000000" w:rsidR="00000000" w:rsidRPr="00000000">
        <w:rPr>
          <w:rFonts w:ascii="Arial" w:cs="Arial" w:eastAsia="Arial" w:hAnsi="Arial"/>
          <w:b w:val="1"/>
          <w:bCs w:val="1"/>
          <w:sz w:val="20"/>
          <w:szCs w:val="20"/>
          <w:rtl w:val="0"/>
        </w:rPr>
        <w:t xml:space="preserve"> 26th June 2026</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7">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8">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9">
      <w:pPr>
        <w:spacing w:after="0" w:line="240" w:lineRule="auto"/>
        <w:ind w:left="720" w:firstLine="0"/>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Current size of footprint (number of premises passed) </w:t>
      </w:r>
    </w:p>
    <w:p w:rsidR="00000000" w:rsidDel="00000000" w:rsidP="00000000" w:rsidRDefault="00000000" w:rsidRPr="00000000" w14:paraId="0000000B">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D">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challenges have you had to overcome in connecting rural communities?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2">
      <w:pPr>
        <w:spacing w:after="0" w:line="240" w:lineRule="auto"/>
        <w:rPr>
          <w:rFonts w:ascii="Arial" w:cs="Arial" w:eastAsia="Arial" w:hAnsi="Arial"/>
          <w:b w:val="1"/>
          <w:bCs w:val="1"/>
          <w:color w:val="002060"/>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bCs w:val="1"/>
          <w:color w:val="002060"/>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bCs w:val="1"/>
          <w:color w:val="002060"/>
          <w:sz w:val="20"/>
          <w:szCs w:val="20"/>
        </w:rPr>
      </w:pPr>
      <w:r w:rsidDel="00000000" w:rsidR="00000000" w:rsidRPr="00000000">
        <w:rPr>
          <w:rFonts w:ascii="Arial" w:cs="Arial" w:eastAsia="Arial" w:hAnsi="Arial"/>
          <w:b w:val="1"/>
          <w:bCs w:val="1"/>
          <w:color w:val="002060"/>
          <w:sz w:val="20"/>
          <w:szCs w:val="20"/>
          <w:rtl w:val="0"/>
        </w:rPr>
        <w:t xml:space="preserve">What difference has your service made to the local community?</w:t>
      </w:r>
    </w:p>
    <w:p w:rsidR="00000000" w:rsidDel="00000000" w:rsidP="00000000" w:rsidRDefault="00000000" w:rsidRPr="00000000" w14:paraId="00000015">
      <w:pPr>
        <w:spacing w:after="0" w:line="240" w:lineRule="auto"/>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6">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9">
      <w:pPr>
        <w:spacing w:after="280" w:before="280" w:lineRule="auto"/>
        <w:rPr>
          <w:rFonts w:ascii="Arial" w:cs="Arial" w:eastAsia="Arial" w:hAnsi="Arial"/>
          <w:b w:val="1"/>
          <w:bCs w:val="1"/>
          <w:color w:val="1f3864"/>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b w:val="1"/>
          <w:bCs w:val="1"/>
          <w:color w:val="1f3864"/>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b w:val="1"/>
          <w:bCs w:val="1"/>
          <w:color w:val="1f3864"/>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have the take up rates in local communities been?</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D">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F">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work and partnerships have you done to engage with local communities and organisations?</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3">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value-added services do you offer your customers?</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7">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flexible are your contracts and terms of service?</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C">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range of FTTP services do you offer to your customers?</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664.9609375" w:hRule="atLeast"/>
          <w:tblHeader w:val="0"/>
        </w:trPr>
        <w:tc>
          <w:tcPr/>
          <w:p w:rsidR="00000000" w:rsidDel="00000000" w:rsidP="00000000" w:rsidRDefault="00000000" w:rsidRPr="00000000" w14:paraId="0000002E">
            <w:pPr>
              <w:spacing w:after="280" w:lineRule="auto"/>
              <w:rPr>
                <w:rFonts w:ascii="Arial" w:cs="Arial" w:eastAsia="Arial" w:hAnsi="Arial"/>
                <w:color w:val="393939"/>
                <w:sz w:val="20"/>
                <w:szCs w:val="20"/>
              </w:rPr>
            </w:pPr>
            <w:bookmarkStart w:colFirst="0" w:colLast="0" w:name="_heading=h.vpr2tssdk0jv" w:id="0"/>
            <w:bookmarkEnd w:id="0"/>
            <w:r w:rsidDel="00000000" w:rsidR="00000000" w:rsidRPr="00000000">
              <w:rPr>
                <w:rtl w:val="0"/>
              </w:rPr>
            </w:r>
          </w:p>
          <w:p w:rsidR="00000000" w:rsidDel="00000000" w:rsidP="00000000" w:rsidRDefault="00000000" w:rsidRPr="00000000" w14:paraId="0000002F">
            <w:pPr>
              <w:spacing w:after="280" w:lineRule="auto"/>
              <w:rPr>
                <w:rFonts w:ascii="Arial" w:cs="Arial" w:eastAsia="Arial" w:hAnsi="Arial"/>
                <w:color w:val="393939"/>
                <w:sz w:val="20"/>
                <w:szCs w:val="20"/>
              </w:rPr>
            </w:pPr>
            <w:bookmarkStart w:colFirst="0" w:colLast="0" w:name="_heading=h.gjdgxs" w:id="1"/>
            <w:bookmarkEnd w:id="1"/>
            <w:r w:rsidDel="00000000" w:rsidR="00000000" w:rsidRPr="00000000">
              <w:rPr>
                <w:rtl w:val="0"/>
              </w:rPr>
            </w:r>
          </w:p>
          <w:p w:rsidR="00000000" w:rsidDel="00000000" w:rsidP="00000000" w:rsidRDefault="00000000" w:rsidRPr="00000000" w14:paraId="00000030">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1">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002060"/>
          <w:sz w:val="20"/>
          <w:szCs w:val="20"/>
          <w:rtl w:val="0"/>
        </w:rPr>
        <w:t xml:space="preserve">Which infrastructure and technology partners do you use?</w:t>
      </w: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664.9609375" w:hRule="atLeast"/>
          <w:tblHeader w:val="0"/>
        </w:trPr>
        <w:tc>
          <w:tcPr/>
          <w:p w:rsidR="00000000" w:rsidDel="00000000" w:rsidP="00000000" w:rsidRDefault="00000000" w:rsidRPr="00000000" w14:paraId="00000032">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3">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4">
      <w:pPr>
        <w:spacing w:after="280" w:before="280" w:lineRule="auto"/>
        <w:rPr>
          <w:rFonts w:ascii="Arial" w:cs="Arial" w:eastAsia="Arial" w:hAnsi="Arial"/>
          <w:b w:val="1"/>
          <w:bCs w:val="1"/>
          <w:color w:val="002060"/>
          <w:sz w:val="20"/>
          <w:szCs w:val="20"/>
        </w:rPr>
      </w:pPr>
      <w:r w:rsidDel="00000000" w:rsidR="00000000" w:rsidRPr="00000000">
        <w:rPr>
          <w:rtl w:val="0"/>
        </w:rPr>
      </w:r>
    </w:p>
    <w:sectPr>
      <w:headerReference r:id="rId8" w:type="default"/>
      <w:pgSz w:h="16838" w:w="11906" w:orient="portrait"/>
      <w:pgMar w:bottom="1440" w:top="1440" w:left="1440" w:right="1440"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697005" cy="1139907"/>
          <wp:effectExtent b="0" l="0" r="0" t="0"/>
          <wp:docPr descr="A picture containing graphical user interface&#10;&#10;Description automatically generated" id="221"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Best Rural ISP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736A70"/>
    <w:pPr>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inkbroadband.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KdSlOHmavt54Xs4v5/fHcjk56g==">CgMxLjAyDmgudnByMnRzc2RrMGp2MghoLmdqZGd4czgAciExSFdSbF9rVDhKUV9nYTBDNURPc3JSUkFCenhlUXYzTmE=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2023-02-09T14:21:00Z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0x010100D07E983405FAD14984C2669DC8F5C37E</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0x010100D07E983405FAD14984C2669DC8F5C37E</vt:lpwstr>
  </property>
</Properties>
</file>