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ACDB5" w14:textId="77777777" w:rsidR="00C31798" w:rsidRDefault="00F81C35">
      <w:r>
        <w:t>ISPA and Good Things Foundation are partnering to find and showcase the best digital inclusion initiatives across the UK at the 2022 ISPA Awards.</w:t>
      </w:r>
    </w:p>
    <w:p w14:paraId="66A275D0" w14:textId="0FB58830" w:rsidR="00C31798" w:rsidRDefault="00F81C35">
      <w:r>
        <w:t xml:space="preserve">Access to reliable good quality </w:t>
      </w:r>
      <w:proofErr w:type="gramStart"/>
      <w:r>
        <w:t>technology, and</w:t>
      </w:r>
      <w:proofErr w:type="gramEnd"/>
      <w:r>
        <w:t xml:space="preserve"> being equipped with the skills to be able to make the most of </w:t>
      </w:r>
      <w:r>
        <w:t xml:space="preserve">our digitally connected world, are no longer </w:t>
      </w:r>
      <w:sdt>
        <w:sdtPr>
          <w:tag w:val="goog_rdk_0"/>
          <w:id w:val="-2113504292"/>
        </w:sdtPr>
        <w:sdtEndPr/>
        <w:sdtContent>
          <w:r>
            <w:t>luxuries - they are essential for all of us</w:t>
          </w:r>
        </w:sdtContent>
      </w:sdt>
      <w:sdt>
        <w:sdtPr>
          <w:tag w:val="goog_rdk_1"/>
          <w:id w:val="-115914468"/>
          <w:showingPlcHdr/>
        </w:sdtPr>
        <w:sdtEndPr/>
        <w:sdtContent>
          <w:r>
            <w:t xml:space="preserve">     </w:t>
          </w:r>
        </w:sdtContent>
      </w:sdt>
      <w:r>
        <w:t>. The COVID pandemic brought home the importance of good connectivity to enable us all to work from home, support educational opportunities, stay in touch</w:t>
      </w:r>
      <w:r>
        <w:t xml:space="preserve"> with friends and family, and have greater access to news and entertainment. The rising cost of living is adding a new dimension, increasing the risk of digital</w:t>
      </w:r>
      <w:sdt>
        <w:sdtPr>
          <w:tag w:val="goog_rdk_2"/>
          <w:id w:val="-1822804"/>
          <w:showingPlcHdr/>
        </w:sdtPr>
        <w:sdtEndPr/>
        <w:sdtContent>
          <w:r>
            <w:t xml:space="preserve">     </w:t>
          </w:r>
        </w:sdtContent>
      </w:sdt>
      <w:r>
        <w:t xml:space="preserve"> exclusion. </w:t>
      </w:r>
    </w:p>
    <w:p w14:paraId="018E9D55" w14:textId="77777777" w:rsidR="00C31798" w:rsidRDefault="00F81C35">
      <w:r>
        <w:t>We want to highlight the good work being done to bridge the digital divide. Whe</w:t>
      </w:r>
      <w:r>
        <w:t xml:space="preserve">ther you’re an individual, </w:t>
      </w:r>
      <w:proofErr w:type="gramStart"/>
      <w:r>
        <w:t>organisation</w:t>
      </w:r>
      <w:proofErr w:type="gramEnd"/>
      <w:r>
        <w:t xml:space="preserve"> or community group, we want to hear about the impact and change you have made. It could be improving digital literacy, helping people get connected or simply using digital to change lives for the better.</w:t>
      </w:r>
    </w:p>
    <w:p w14:paraId="57368784" w14:textId="77777777" w:rsidR="00C31798" w:rsidRDefault="00F81C35">
      <w:r>
        <w:t>The 2022 ISP</w:t>
      </w:r>
      <w:r>
        <w:t>A Awards will shine a light on this vital cause. Shortlisted nominees will be invited to the ceremony as the guests of ISPA and Good Things Foundation.</w:t>
      </w:r>
    </w:p>
    <w:p w14:paraId="61F9B14A" w14:textId="77777777" w:rsidR="00C31798" w:rsidRDefault="00F81C35">
      <w:pPr>
        <w:spacing w:before="280" w:after="280"/>
      </w:pPr>
      <w:r>
        <w:t>To enter, please fill out this written entry form (keep the document size to no more than two pages of A</w:t>
      </w:r>
      <w:r>
        <w:t xml:space="preserve">4 - minimum size font: Arial 10) and send to </w:t>
      </w:r>
      <w:hyperlink r:id="rId10">
        <w:r>
          <w:rPr>
            <w:color w:val="0563C1"/>
            <w:u w:val="single"/>
          </w:rPr>
          <w:t>awards@ispa.org.uk</w:t>
        </w:r>
      </w:hyperlink>
      <w:r>
        <w:t xml:space="preserve">  by September 24</w:t>
      </w:r>
      <w:r>
        <w:rPr>
          <w:vertAlign w:val="superscript"/>
        </w:rPr>
        <w:t>th</w:t>
      </w:r>
      <w:r>
        <w:t xml:space="preserve">. </w:t>
      </w:r>
    </w:p>
    <w:p w14:paraId="43133D1F" w14:textId="77777777" w:rsidR="00C31798" w:rsidRDefault="00F81C35">
      <w:pPr>
        <w:spacing w:before="280" w:after="280"/>
        <w:rPr>
          <w:rFonts w:ascii="Arial" w:eastAsia="Arial" w:hAnsi="Arial" w:cs="Arial"/>
          <w:b/>
          <w:color w:val="1F3864"/>
          <w:sz w:val="20"/>
          <w:szCs w:val="20"/>
        </w:rPr>
      </w:pPr>
      <w:r>
        <w:rPr>
          <w:rFonts w:ascii="Arial" w:eastAsia="Arial" w:hAnsi="Arial" w:cs="Arial"/>
          <w:b/>
          <w:color w:val="1F3864"/>
          <w:sz w:val="20"/>
          <w:szCs w:val="20"/>
        </w:rPr>
        <w:t xml:space="preserve">Contact details </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C31798" w14:paraId="6C554900" w14:textId="77777777">
        <w:tc>
          <w:tcPr>
            <w:tcW w:w="9016" w:type="dxa"/>
          </w:tcPr>
          <w:p w14:paraId="541CB4EA" w14:textId="77777777" w:rsidR="00C31798" w:rsidRDefault="00C31798">
            <w:pPr>
              <w:rPr>
                <w:rFonts w:ascii="Arial" w:eastAsia="Arial" w:hAnsi="Arial" w:cs="Arial"/>
                <w:b/>
                <w:color w:val="ED7D31"/>
                <w:sz w:val="20"/>
                <w:szCs w:val="20"/>
              </w:rPr>
            </w:pPr>
          </w:p>
        </w:tc>
      </w:tr>
    </w:tbl>
    <w:p w14:paraId="1EDE7698" w14:textId="77777777" w:rsidR="00C31798" w:rsidRDefault="00F81C35">
      <w:pPr>
        <w:spacing w:before="280" w:after="280"/>
        <w:rPr>
          <w:rFonts w:ascii="Arial" w:eastAsia="Arial" w:hAnsi="Arial" w:cs="Arial"/>
          <w:b/>
          <w:color w:val="1F3864"/>
          <w:sz w:val="20"/>
          <w:szCs w:val="20"/>
        </w:rPr>
      </w:pPr>
      <w:r>
        <w:rPr>
          <w:rFonts w:ascii="Arial" w:eastAsia="Arial" w:hAnsi="Arial" w:cs="Arial"/>
          <w:b/>
          <w:color w:val="1F3864"/>
          <w:sz w:val="20"/>
          <w:szCs w:val="20"/>
        </w:rPr>
        <w:t>Organisation</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C31798" w14:paraId="410BDE06" w14:textId="77777777">
        <w:tc>
          <w:tcPr>
            <w:tcW w:w="9016" w:type="dxa"/>
          </w:tcPr>
          <w:p w14:paraId="577866C8" w14:textId="77777777" w:rsidR="00C31798" w:rsidRDefault="00C31798">
            <w:pPr>
              <w:rPr>
                <w:rFonts w:ascii="Arial" w:eastAsia="Arial" w:hAnsi="Arial" w:cs="Arial"/>
                <w:b/>
                <w:color w:val="ED7D31"/>
                <w:sz w:val="20"/>
                <w:szCs w:val="20"/>
              </w:rPr>
            </w:pPr>
          </w:p>
        </w:tc>
      </w:tr>
    </w:tbl>
    <w:p w14:paraId="7F515E13" w14:textId="77777777" w:rsidR="00C31798" w:rsidRDefault="00F81C35">
      <w:pPr>
        <w:spacing w:before="280" w:after="280"/>
        <w:rPr>
          <w:rFonts w:ascii="Arial" w:eastAsia="Arial" w:hAnsi="Arial" w:cs="Arial"/>
          <w:color w:val="1F3864"/>
          <w:sz w:val="20"/>
          <w:szCs w:val="20"/>
        </w:rPr>
      </w:pPr>
      <w:r>
        <w:rPr>
          <w:rFonts w:ascii="Arial" w:eastAsia="Arial" w:hAnsi="Arial" w:cs="Arial"/>
          <w:b/>
          <w:color w:val="1F3864"/>
          <w:sz w:val="20"/>
          <w:szCs w:val="20"/>
        </w:rPr>
        <w:t xml:space="preserve">Summarise in 30 words </w:t>
      </w:r>
      <w:proofErr w:type="gramStart"/>
      <w:r>
        <w:rPr>
          <w:rFonts w:ascii="Arial" w:eastAsia="Arial" w:hAnsi="Arial" w:cs="Arial"/>
          <w:b/>
          <w:color w:val="1F3864"/>
          <w:sz w:val="20"/>
          <w:szCs w:val="20"/>
        </w:rPr>
        <w:t>why</w:t>
      </w:r>
      <w:proofErr w:type="gramEnd"/>
      <w:r>
        <w:rPr>
          <w:rFonts w:ascii="Arial" w:eastAsia="Arial" w:hAnsi="Arial" w:cs="Arial"/>
          <w:b/>
          <w:color w:val="1F3864"/>
          <w:sz w:val="20"/>
          <w:szCs w:val="20"/>
        </w:rPr>
        <w:t xml:space="preserve"> your entry stands out</w:t>
      </w: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C31798" w14:paraId="4E5E4E9D" w14:textId="77777777">
        <w:tc>
          <w:tcPr>
            <w:tcW w:w="9016" w:type="dxa"/>
          </w:tcPr>
          <w:p w14:paraId="6F92ED32" w14:textId="77777777" w:rsidR="00C31798" w:rsidRDefault="00C31798">
            <w:pPr>
              <w:spacing w:after="280"/>
              <w:rPr>
                <w:rFonts w:ascii="Arial" w:eastAsia="Arial" w:hAnsi="Arial" w:cs="Arial"/>
                <w:color w:val="393939"/>
                <w:sz w:val="20"/>
                <w:szCs w:val="20"/>
              </w:rPr>
            </w:pPr>
          </w:p>
          <w:p w14:paraId="72A27F63" w14:textId="77777777" w:rsidR="00C31798" w:rsidRDefault="00C31798">
            <w:pPr>
              <w:spacing w:before="280" w:after="280"/>
              <w:rPr>
                <w:rFonts w:ascii="Arial" w:eastAsia="Arial" w:hAnsi="Arial" w:cs="Arial"/>
                <w:color w:val="393939"/>
                <w:sz w:val="20"/>
                <w:szCs w:val="20"/>
              </w:rPr>
            </w:pPr>
          </w:p>
          <w:p w14:paraId="5EFDEC47" w14:textId="77777777" w:rsidR="00C31798" w:rsidRDefault="00C31798">
            <w:pPr>
              <w:spacing w:before="280"/>
              <w:rPr>
                <w:rFonts w:ascii="Arial" w:eastAsia="Arial" w:hAnsi="Arial" w:cs="Arial"/>
                <w:color w:val="393939"/>
                <w:sz w:val="20"/>
                <w:szCs w:val="20"/>
              </w:rPr>
            </w:pPr>
          </w:p>
        </w:tc>
      </w:tr>
    </w:tbl>
    <w:p w14:paraId="12FAA951" w14:textId="77777777" w:rsidR="00C31798" w:rsidRDefault="00C31798">
      <w:pPr>
        <w:spacing w:after="0" w:line="240" w:lineRule="auto"/>
        <w:ind w:left="720"/>
      </w:pPr>
    </w:p>
    <w:p w14:paraId="353E3875" w14:textId="77777777" w:rsidR="00C31798" w:rsidRDefault="00F81C35">
      <w:pPr>
        <w:spacing w:after="0" w:line="240" w:lineRule="auto"/>
        <w:rPr>
          <w:rFonts w:ascii="Arial" w:eastAsia="Arial" w:hAnsi="Arial" w:cs="Arial"/>
          <w:b/>
          <w:color w:val="1F3864"/>
          <w:sz w:val="20"/>
          <w:szCs w:val="20"/>
        </w:rPr>
      </w:pPr>
      <w:r>
        <w:rPr>
          <w:rFonts w:ascii="Arial" w:eastAsia="Arial" w:hAnsi="Arial" w:cs="Arial"/>
          <w:b/>
          <w:color w:val="1F3864"/>
          <w:sz w:val="20"/>
          <w:szCs w:val="20"/>
        </w:rPr>
        <w:t xml:space="preserve">Please provide a case study of no more than 500 words on how you helped improve digital inclusion in the past 12 months. Consider the measurable impact you had on people’s lives, reach and demographics you supported, and other supporting material, such as </w:t>
      </w:r>
      <w:r>
        <w:rPr>
          <w:rFonts w:ascii="Arial" w:eastAsia="Arial" w:hAnsi="Arial" w:cs="Arial"/>
          <w:b/>
          <w:color w:val="1F3864"/>
          <w:sz w:val="20"/>
          <w:szCs w:val="20"/>
        </w:rPr>
        <w:t xml:space="preserve">quotes from people that benefitted. </w:t>
      </w:r>
    </w:p>
    <w:p w14:paraId="2F08A48A" w14:textId="77777777" w:rsidR="00C31798" w:rsidRDefault="00C31798">
      <w:pPr>
        <w:spacing w:after="0" w:line="240" w:lineRule="auto"/>
        <w:rPr>
          <w:rFonts w:ascii="Arial" w:eastAsia="Arial" w:hAnsi="Arial" w:cs="Arial"/>
          <w:b/>
          <w:color w:val="1F3864"/>
          <w:sz w:val="20"/>
          <w:szCs w:val="20"/>
        </w:rPr>
      </w:pP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C31798" w14:paraId="05E7F31E" w14:textId="77777777">
        <w:tc>
          <w:tcPr>
            <w:tcW w:w="9016" w:type="dxa"/>
          </w:tcPr>
          <w:p w14:paraId="799D1945" w14:textId="77777777" w:rsidR="00C31798" w:rsidRDefault="00C31798">
            <w:pPr>
              <w:spacing w:after="280"/>
              <w:rPr>
                <w:rFonts w:ascii="Arial" w:eastAsia="Arial" w:hAnsi="Arial" w:cs="Arial"/>
                <w:color w:val="393939"/>
                <w:sz w:val="20"/>
                <w:szCs w:val="20"/>
              </w:rPr>
            </w:pPr>
          </w:p>
          <w:p w14:paraId="1ADF75CA" w14:textId="77777777" w:rsidR="00C31798" w:rsidRDefault="00C31798">
            <w:pPr>
              <w:spacing w:before="280" w:after="280"/>
              <w:rPr>
                <w:rFonts w:ascii="Arial" w:eastAsia="Arial" w:hAnsi="Arial" w:cs="Arial"/>
                <w:color w:val="393939"/>
                <w:sz w:val="20"/>
                <w:szCs w:val="20"/>
              </w:rPr>
            </w:pPr>
          </w:p>
          <w:p w14:paraId="09B67478" w14:textId="77777777" w:rsidR="00C31798" w:rsidRDefault="00C31798">
            <w:pPr>
              <w:spacing w:before="280" w:after="280"/>
              <w:rPr>
                <w:rFonts w:ascii="Arial" w:eastAsia="Arial" w:hAnsi="Arial" w:cs="Arial"/>
                <w:color w:val="393939"/>
                <w:sz w:val="20"/>
                <w:szCs w:val="20"/>
              </w:rPr>
            </w:pPr>
          </w:p>
          <w:p w14:paraId="379EC7E8" w14:textId="77777777" w:rsidR="00C31798" w:rsidRDefault="00C31798">
            <w:pPr>
              <w:spacing w:before="280" w:after="280"/>
              <w:rPr>
                <w:rFonts w:ascii="Arial" w:eastAsia="Arial" w:hAnsi="Arial" w:cs="Arial"/>
                <w:color w:val="393939"/>
                <w:sz w:val="20"/>
                <w:szCs w:val="20"/>
              </w:rPr>
            </w:pPr>
          </w:p>
          <w:p w14:paraId="6167DE7B" w14:textId="77777777" w:rsidR="00C31798" w:rsidRDefault="00C31798">
            <w:pPr>
              <w:spacing w:before="280" w:after="280"/>
              <w:rPr>
                <w:rFonts w:ascii="Arial" w:eastAsia="Arial" w:hAnsi="Arial" w:cs="Arial"/>
                <w:color w:val="393939"/>
                <w:sz w:val="20"/>
                <w:szCs w:val="20"/>
              </w:rPr>
            </w:pPr>
          </w:p>
          <w:p w14:paraId="68CEEE4C" w14:textId="77777777" w:rsidR="00C31798" w:rsidRDefault="00C31798">
            <w:pPr>
              <w:spacing w:before="280" w:after="280"/>
              <w:rPr>
                <w:rFonts w:ascii="Arial" w:eastAsia="Arial" w:hAnsi="Arial" w:cs="Arial"/>
                <w:color w:val="393939"/>
                <w:sz w:val="20"/>
                <w:szCs w:val="20"/>
              </w:rPr>
            </w:pPr>
          </w:p>
          <w:p w14:paraId="6598BCBD" w14:textId="77777777" w:rsidR="00C31798" w:rsidRDefault="00C31798">
            <w:pPr>
              <w:spacing w:before="280" w:after="280"/>
              <w:rPr>
                <w:rFonts w:ascii="Arial" w:eastAsia="Arial" w:hAnsi="Arial" w:cs="Arial"/>
                <w:color w:val="393939"/>
                <w:sz w:val="20"/>
                <w:szCs w:val="20"/>
              </w:rPr>
            </w:pPr>
          </w:p>
          <w:p w14:paraId="2F8D846A" w14:textId="77777777" w:rsidR="00C31798" w:rsidRDefault="00C31798">
            <w:pPr>
              <w:spacing w:before="280" w:after="280"/>
              <w:rPr>
                <w:rFonts w:ascii="Arial" w:eastAsia="Arial" w:hAnsi="Arial" w:cs="Arial"/>
                <w:color w:val="393939"/>
                <w:sz w:val="20"/>
                <w:szCs w:val="20"/>
              </w:rPr>
            </w:pPr>
          </w:p>
          <w:p w14:paraId="631DA39B" w14:textId="77777777" w:rsidR="00C31798" w:rsidRDefault="00C31798">
            <w:pPr>
              <w:spacing w:before="280" w:after="280"/>
              <w:rPr>
                <w:rFonts w:ascii="Arial" w:eastAsia="Arial" w:hAnsi="Arial" w:cs="Arial"/>
                <w:color w:val="393939"/>
                <w:sz w:val="20"/>
                <w:szCs w:val="20"/>
              </w:rPr>
            </w:pPr>
          </w:p>
          <w:p w14:paraId="031A6DFE" w14:textId="77777777" w:rsidR="00C31798" w:rsidRDefault="00C31798">
            <w:pPr>
              <w:spacing w:before="280" w:after="280"/>
              <w:rPr>
                <w:rFonts w:ascii="Arial" w:eastAsia="Arial" w:hAnsi="Arial" w:cs="Arial"/>
                <w:color w:val="393939"/>
                <w:sz w:val="20"/>
                <w:szCs w:val="20"/>
              </w:rPr>
            </w:pPr>
          </w:p>
          <w:p w14:paraId="27FA6657" w14:textId="77777777" w:rsidR="00C31798" w:rsidRDefault="00C31798">
            <w:pPr>
              <w:spacing w:before="280" w:after="280"/>
              <w:rPr>
                <w:rFonts w:ascii="Arial" w:eastAsia="Arial" w:hAnsi="Arial" w:cs="Arial"/>
                <w:color w:val="393939"/>
                <w:sz w:val="20"/>
                <w:szCs w:val="20"/>
              </w:rPr>
            </w:pPr>
          </w:p>
          <w:p w14:paraId="4C34F2DF" w14:textId="77777777" w:rsidR="00C31798" w:rsidRDefault="00C31798">
            <w:pPr>
              <w:spacing w:before="280" w:after="280"/>
              <w:rPr>
                <w:rFonts w:ascii="Arial" w:eastAsia="Arial" w:hAnsi="Arial" w:cs="Arial"/>
                <w:color w:val="393939"/>
                <w:sz w:val="20"/>
                <w:szCs w:val="20"/>
              </w:rPr>
            </w:pPr>
          </w:p>
          <w:p w14:paraId="265628A2" w14:textId="77777777" w:rsidR="00C31798" w:rsidRDefault="00C31798">
            <w:pPr>
              <w:spacing w:before="280" w:after="280"/>
              <w:rPr>
                <w:rFonts w:ascii="Arial" w:eastAsia="Arial" w:hAnsi="Arial" w:cs="Arial"/>
                <w:color w:val="393939"/>
                <w:sz w:val="20"/>
                <w:szCs w:val="20"/>
              </w:rPr>
            </w:pPr>
          </w:p>
          <w:p w14:paraId="52619D9A" w14:textId="77777777" w:rsidR="00C31798" w:rsidRDefault="00C31798">
            <w:pPr>
              <w:spacing w:before="280"/>
              <w:rPr>
                <w:rFonts w:ascii="Arial" w:eastAsia="Arial" w:hAnsi="Arial" w:cs="Arial"/>
                <w:color w:val="393939"/>
                <w:sz w:val="20"/>
                <w:szCs w:val="20"/>
              </w:rPr>
            </w:pPr>
          </w:p>
        </w:tc>
      </w:tr>
    </w:tbl>
    <w:p w14:paraId="2E667508" w14:textId="77777777" w:rsidR="00C31798" w:rsidRDefault="00C31798">
      <w:pPr>
        <w:spacing w:after="0" w:line="240" w:lineRule="auto"/>
      </w:pPr>
    </w:p>
    <w:p w14:paraId="2BA4710D" w14:textId="77777777" w:rsidR="00C31798" w:rsidRDefault="00F81C35">
      <w:pPr>
        <w:spacing w:after="0" w:line="240" w:lineRule="auto"/>
        <w:rPr>
          <w:b/>
        </w:rPr>
      </w:pPr>
      <w:r>
        <w:rPr>
          <w:b/>
        </w:rPr>
        <w:t>About the ISPA Awards</w:t>
      </w:r>
    </w:p>
    <w:p w14:paraId="5E91BB97" w14:textId="77777777" w:rsidR="00C31798" w:rsidRDefault="00C31798">
      <w:pPr>
        <w:spacing w:after="0" w:line="240" w:lineRule="auto"/>
      </w:pPr>
    </w:p>
    <w:p w14:paraId="17D66EB8" w14:textId="77777777" w:rsidR="00C31798" w:rsidRDefault="00F81C35">
      <w:pPr>
        <w:spacing w:after="0" w:line="240" w:lineRule="auto"/>
      </w:pPr>
      <w:r>
        <w:t xml:space="preserve">The ISPA Awards is the longest-running broadband and internet awards. Alongside the core categories aimed at broadband, hosting, cloud and VoIP services, there are awards aimed at those that have made the Internet a more accessible and secure place. </w:t>
      </w:r>
    </w:p>
    <w:p w14:paraId="18623AAC" w14:textId="77777777" w:rsidR="00C31798" w:rsidRDefault="00C31798">
      <w:pPr>
        <w:spacing w:after="0" w:line="240" w:lineRule="auto"/>
      </w:pPr>
    </w:p>
    <w:p w14:paraId="0B71AA4F" w14:textId="77777777" w:rsidR="00C31798" w:rsidRDefault="00F81C35">
      <w:pPr>
        <w:spacing w:after="0" w:line="240" w:lineRule="auto"/>
      </w:pPr>
      <w:r>
        <w:t xml:space="preserve">The </w:t>
      </w:r>
      <w:r>
        <w:t xml:space="preserve">ISPAs are independently judged by a panel of industry experts with technical testing for ISP categories carried out by </w:t>
      </w:r>
      <w:proofErr w:type="spellStart"/>
      <w:r>
        <w:t>thinkbroadband</w:t>
      </w:r>
      <w:proofErr w:type="spellEnd"/>
      <w:r>
        <w:t xml:space="preserve">, ensuring that only the top performing providers are shortlisted. </w:t>
      </w:r>
    </w:p>
    <w:p w14:paraId="229F59AA" w14:textId="77777777" w:rsidR="00C31798" w:rsidRDefault="00C31798">
      <w:pPr>
        <w:spacing w:after="0" w:line="240" w:lineRule="auto"/>
      </w:pPr>
    </w:p>
    <w:p w14:paraId="563F94BD" w14:textId="111B90DE" w:rsidR="00C31798" w:rsidRDefault="00F81C35">
      <w:pPr>
        <w:spacing w:after="0" w:line="240" w:lineRule="auto"/>
      </w:pPr>
      <w:r>
        <w:t>The Digital Inclusion Award is new for 2022 and is par</w:t>
      </w:r>
      <w:r>
        <w:t>t of the partnership between ISPA and Good Things Foundation to raise awareness of digital inclusion. The Digital Inclusion Award will be judged by ISPA and Good Things Foundation. The ceremony take</w:t>
      </w:r>
      <w:r>
        <w:t>s</w:t>
      </w:r>
      <w:r>
        <w:t xml:space="preserve"> place</w:t>
      </w:r>
      <w:r>
        <w:t xml:space="preserve"> on November 24</w:t>
      </w:r>
      <w:r>
        <w:rPr>
          <w:vertAlign w:val="superscript"/>
        </w:rPr>
        <w:t>th</w:t>
      </w:r>
      <w:r>
        <w:t>.</w:t>
      </w:r>
    </w:p>
    <w:p w14:paraId="603A0986" w14:textId="77777777" w:rsidR="00C31798" w:rsidRDefault="00C31798">
      <w:pPr>
        <w:spacing w:after="0" w:line="240" w:lineRule="auto"/>
      </w:pPr>
    </w:p>
    <w:p w14:paraId="2D8C44FA" w14:textId="77777777" w:rsidR="00C31798" w:rsidRDefault="00C31798">
      <w:pPr>
        <w:spacing w:after="0" w:line="240" w:lineRule="auto"/>
      </w:pPr>
    </w:p>
    <w:p w14:paraId="793F08DA" w14:textId="77777777" w:rsidR="00C31798" w:rsidRDefault="00C31798">
      <w:pPr>
        <w:spacing w:after="0" w:line="240" w:lineRule="auto"/>
      </w:pPr>
    </w:p>
    <w:sectPr w:rsidR="00C31798">
      <w:headerReference w:type="default" r:id="rId1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9FCDF" w14:textId="77777777" w:rsidR="00000000" w:rsidRDefault="00F81C35">
      <w:pPr>
        <w:spacing w:after="0" w:line="240" w:lineRule="auto"/>
      </w:pPr>
      <w:r>
        <w:separator/>
      </w:r>
    </w:p>
  </w:endnote>
  <w:endnote w:type="continuationSeparator" w:id="0">
    <w:p w14:paraId="065CF81F" w14:textId="77777777" w:rsidR="00000000" w:rsidRDefault="00F81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391D4" w14:textId="77777777" w:rsidR="00000000" w:rsidRDefault="00F81C35">
      <w:pPr>
        <w:spacing w:after="0" w:line="240" w:lineRule="auto"/>
      </w:pPr>
      <w:r>
        <w:separator/>
      </w:r>
    </w:p>
  </w:footnote>
  <w:footnote w:type="continuationSeparator" w:id="0">
    <w:p w14:paraId="6C0EA5FF" w14:textId="77777777" w:rsidR="00000000" w:rsidRDefault="00F81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B3E17" w14:textId="77777777" w:rsidR="00C31798" w:rsidRDefault="00F81C35">
    <w:pPr>
      <w:pBdr>
        <w:top w:val="nil"/>
        <w:left w:val="nil"/>
        <w:bottom w:val="nil"/>
        <w:right w:val="nil"/>
        <w:between w:val="nil"/>
      </w:pBdr>
      <w:tabs>
        <w:tab w:val="center" w:pos="4513"/>
        <w:tab w:val="right" w:pos="9026"/>
      </w:tabs>
      <w:spacing w:after="0" w:line="240" w:lineRule="auto"/>
      <w:jc w:val="center"/>
      <w:rPr>
        <w:rFonts w:ascii="Arial" w:eastAsia="Arial" w:hAnsi="Arial" w:cs="Arial"/>
        <w:b/>
        <w:color w:val="ED7D31"/>
        <w:sz w:val="44"/>
        <w:szCs w:val="44"/>
      </w:rPr>
    </w:pPr>
    <w:r>
      <w:rPr>
        <w:rFonts w:ascii="Arial" w:eastAsia="Arial" w:hAnsi="Arial" w:cs="Arial"/>
        <w:b/>
        <w:noProof/>
        <w:color w:val="ED7D31"/>
        <w:sz w:val="44"/>
        <w:szCs w:val="44"/>
      </w:rPr>
      <w:drawing>
        <wp:inline distT="0" distB="0" distL="0" distR="0" wp14:anchorId="1C5513E3" wp14:editId="06E8B546">
          <wp:extent cx="1697005" cy="1139907"/>
          <wp:effectExtent l="0" t="0" r="0" b="0"/>
          <wp:docPr id="3" name="image1.png"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graphical user interface&#10;&#10;Description automatically generated"/>
                  <pic:cNvPicPr preferRelativeResize="0"/>
                </pic:nvPicPr>
                <pic:blipFill>
                  <a:blip r:embed="rId1"/>
                  <a:srcRect t="15584" r="3667" b="19643"/>
                  <a:stretch>
                    <a:fillRect/>
                  </a:stretch>
                </pic:blipFill>
                <pic:spPr>
                  <a:xfrm>
                    <a:off x="0" y="0"/>
                    <a:ext cx="1697005" cy="1139907"/>
                  </a:xfrm>
                  <a:prstGeom prst="rect">
                    <a:avLst/>
                  </a:prstGeom>
                  <a:ln/>
                </pic:spPr>
              </pic:pic>
            </a:graphicData>
          </a:graphic>
        </wp:inline>
      </w:drawing>
    </w:r>
  </w:p>
  <w:p w14:paraId="0BD9BF77" w14:textId="77777777" w:rsidR="00C31798" w:rsidRDefault="00F81C35">
    <w:pPr>
      <w:jc w:val="center"/>
    </w:pPr>
    <w:r>
      <w:rPr>
        <w:b/>
        <w:sz w:val="36"/>
        <w:szCs w:val="36"/>
      </w:rPr>
      <w:t>Digital Inclusion Award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798"/>
    <w:rsid w:val="00C31798"/>
    <w:rsid w:val="00F81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78884"/>
  <w15:docId w15:val="{3B4E02CF-52EC-4C09-B150-FF11E48CA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A1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F200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03C"/>
  </w:style>
  <w:style w:type="paragraph" w:styleId="Footer">
    <w:name w:val="footer"/>
    <w:basedOn w:val="Normal"/>
    <w:link w:val="FooterChar"/>
    <w:uiPriority w:val="99"/>
    <w:unhideWhenUsed/>
    <w:rsid w:val="00F20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03C"/>
  </w:style>
  <w:style w:type="character" w:styleId="Hyperlink">
    <w:name w:val="Hyperlink"/>
    <w:basedOn w:val="DefaultParagraphFont"/>
    <w:uiPriority w:val="99"/>
    <w:unhideWhenUsed/>
    <w:rsid w:val="00F2003C"/>
    <w:rPr>
      <w:color w:val="0563C1" w:themeColor="hyperlink"/>
      <w:u w:val="single"/>
    </w:rPr>
  </w:style>
  <w:style w:type="character" w:styleId="UnresolvedMention">
    <w:name w:val="Unresolved Mention"/>
    <w:basedOn w:val="DefaultParagraphFont"/>
    <w:uiPriority w:val="99"/>
    <w:semiHidden/>
    <w:unhideWhenUsed/>
    <w:rsid w:val="00F2003C"/>
    <w:rPr>
      <w:color w:val="605E5C"/>
      <w:shd w:val="clear" w:color="auto" w:fill="E1DFDD"/>
    </w:rPr>
  </w:style>
  <w:style w:type="table" w:styleId="TableGrid">
    <w:name w:val="Table Grid"/>
    <w:basedOn w:val="TableNormal"/>
    <w:uiPriority w:val="39"/>
    <w:rsid w:val="00F20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E8"/>
    <w:pPr>
      <w:ind w:left="720"/>
      <w:contextualSpacing/>
    </w:pPr>
  </w:style>
  <w:style w:type="character" w:styleId="CommentReference">
    <w:name w:val="annotation reference"/>
    <w:basedOn w:val="DefaultParagraphFont"/>
    <w:uiPriority w:val="99"/>
    <w:semiHidden/>
    <w:unhideWhenUsed/>
    <w:rsid w:val="00DA2981"/>
    <w:rPr>
      <w:sz w:val="16"/>
      <w:szCs w:val="16"/>
    </w:rPr>
  </w:style>
  <w:style w:type="paragraph" w:styleId="Revision">
    <w:name w:val="Revision"/>
    <w:hidden/>
    <w:uiPriority w:val="99"/>
    <w:semiHidden/>
    <w:rsid w:val="00D73347"/>
    <w:pPr>
      <w:spacing w:after="0" w:line="240" w:lineRule="auto"/>
    </w:pPr>
  </w:style>
  <w:style w:type="paragraph" w:styleId="CommentText">
    <w:name w:val="annotation text"/>
    <w:basedOn w:val="Normal"/>
    <w:link w:val="CommentTextChar"/>
    <w:uiPriority w:val="99"/>
    <w:unhideWhenUsed/>
    <w:rsid w:val="004853C4"/>
    <w:pPr>
      <w:spacing w:line="240" w:lineRule="auto"/>
    </w:pPr>
    <w:rPr>
      <w:sz w:val="20"/>
      <w:szCs w:val="20"/>
    </w:rPr>
  </w:style>
  <w:style w:type="character" w:customStyle="1" w:styleId="CommentTextChar">
    <w:name w:val="Comment Text Char"/>
    <w:basedOn w:val="DefaultParagraphFont"/>
    <w:link w:val="CommentText"/>
    <w:uiPriority w:val="99"/>
    <w:rsid w:val="004853C4"/>
    <w:rPr>
      <w:sz w:val="20"/>
      <w:szCs w:val="20"/>
    </w:rPr>
  </w:style>
  <w:style w:type="paragraph" w:styleId="CommentSubject">
    <w:name w:val="annotation subject"/>
    <w:basedOn w:val="CommentText"/>
    <w:next w:val="CommentText"/>
    <w:link w:val="CommentSubjectChar"/>
    <w:uiPriority w:val="99"/>
    <w:semiHidden/>
    <w:unhideWhenUsed/>
    <w:rsid w:val="004853C4"/>
    <w:rPr>
      <w:b/>
      <w:bCs/>
    </w:rPr>
  </w:style>
  <w:style w:type="character" w:customStyle="1" w:styleId="CommentSubjectChar">
    <w:name w:val="Comment Subject Char"/>
    <w:basedOn w:val="CommentTextChar"/>
    <w:link w:val="CommentSubject"/>
    <w:uiPriority w:val="99"/>
    <w:semiHidden/>
    <w:rsid w:val="004853C4"/>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wards@ispa.org.uk"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huvFPNbR0uz9E+uHGrnWRetgSg==">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70D9F013F990D43BFE8B1D801A539FC" ma:contentTypeVersion="21" ma:contentTypeDescription="Create a new document." ma:contentTypeScope="" ma:versionID="32fca803cfb2c799a271099571db350b">
  <xsd:schema xmlns:xsd="http://www.w3.org/2001/XMLSchema" xmlns:xs="http://www.w3.org/2001/XMLSchema" xmlns:p="http://schemas.microsoft.com/office/2006/metadata/properties" xmlns:ns2="1d465b8c-9845-47cb-a4f5-a3f25ba0c368" xmlns:ns3="9fba067d-51b6-4c10-82b5-fc3c6201f9d8" xmlns:ns4="http://schemas.microsoft.com/sharepoint/v4" targetNamespace="http://schemas.microsoft.com/office/2006/metadata/properties" ma:root="true" ma:fieldsID="27ad165a545a754b122e131dbe5aae4f" ns2:_="" ns3:_="" ns4:_="">
    <xsd:import namespace="1d465b8c-9845-47cb-a4f5-a3f25ba0c368"/>
    <xsd:import namespace="9fba067d-51b6-4c10-82b5-fc3c6201f9d8"/>
    <xsd:import namespace="http://schemas.microsoft.com/sharepoint/v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IconOverlay"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465b8c-9845-47cb-a4f5-a3f25ba0c3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4" nillable="true" ma:displayName="Taxonomy Catch All Column" ma:hidden="true" ma:list="{7ce6523d-703d-4f45-aded-e81bdd89881a}" ma:internalName="TaxCatchAll" ma:showField="CatchAllData" ma:web="1d465b8c-9845-47cb-a4f5-a3f25ba0c36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ba067d-51b6-4c10-82b5-fc3c6201f9d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a387db0-6d5d-47d8-a927-6dcd349f78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d465b8c-9845-47cb-a4f5-a3f25ba0c368" xsi:nil="true"/>
    <IconOverlay xmlns="http://schemas.microsoft.com/sharepoint/v4" xsi:nil="true"/>
    <lcf76f155ced4ddcb4097134ff3c332f xmlns="9fba067d-51b6-4c10-82b5-fc3c6201f9d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DA65B855-C2E2-42D2-9C26-AD66B65EECCA}"/>
</file>

<file path=customXml/itemProps3.xml><?xml version="1.0" encoding="utf-8"?>
<ds:datastoreItem xmlns:ds="http://schemas.openxmlformats.org/officeDocument/2006/customXml" ds:itemID="{E024F8D9-FD3B-41F7-8743-9C51A0E71226}">
  <ds:schemaRefs>
    <ds:schemaRef ds:uri="http://schemas.microsoft.com/sharepoint/v3/contenttype/forms"/>
  </ds:schemaRefs>
</ds:datastoreItem>
</file>

<file path=customXml/itemProps4.xml><?xml version="1.0" encoding="utf-8"?>
<ds:datastoreItem xmlns:ds="http://schemas.openxmlformats.org/officeDocument/2006/customXml" ds:itemID="{FF89676E-F38F-425C-BE11-48A7D19A0825}">
  <ds:schemaRefs>
    <ds:schemaRef ds:uri="http://www.w3.org/XML/1998/namespace"/>
    <ds:schemaRef ds:uri="http://schemas.openxmlformats.org/package/2006/metadata/core-properties"/>
    <ds:schemaRef ds:uri="http://purl.org/dc/terms/"/>
    <ds:schemaRef ds:uri="9fba067d-51b6-4c10-82b5-fc3c6201f9d8"/>
    <ds:schemaRef ds:uri="http://schemas.microsoft.com/office/2006/metadata/properties"/>
    <ds:schemaRef ds:uri="http://purl.org/dc/elements/1.1/"/>
    <ds:schemaRef ds:uri="1d465b8c-9845-47cb-a4f5-a3f25ba0c368"/>
    <ds:schemaRef ds:uri="http://schemas.microsoft.com/office/2006/documentManagement/types"/>
    <ds:schemaRef ds:uri="http://schemas.microsoft.com/sharepoint/v4"/>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382</Words>
  <Characters>2184</Characters>
  <Application>Microsoft Office Word</Application>
  <DocSecurity>4</DocSecurity>
  <Lines>18</Lines>
  <Paragraphs>5</Paragraphs>
  <ScaleCrop>false</ScaleCrop>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Zemanova</dc:creator>
  <cp:lastModifiedBy>Michaela Zemanova</cp:lastModifiedBy>
  <cp:revision>2</cp:revision>
  <dcterms:created xsi:type="dcterms:W3CDTF">2022-07-11T08:03:00Z</dcterms:created>
  <dcterms:modified xsi:type="dcterms:W3CDTF">2022-07-11T08:03:00Z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0x010100970D9F013F990D43BFE8B1D801A539FC</vt:lpwstr>
  </property>
  <property fmtid="{D5CDD505-2E9C-101B-9397-08002B2CF9AE}" pid="3" name="AuthorIds_UIVersion_512">
    <vt:lpwstr>42</vt:lpwstr>
  </property>
  <property fmtid="{D5CDD505-2E9C-101B-9397-08002B2CF9AE}" pid="4" name="MediaServiceImageTags">
    <vt:lpwstr/>
  </property>
</Properties>
</file>